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3C7B" w14:textId="77777777" w:rsidR="008F54E6" w:rsidRPr="008F54E6" w:rsidRDefault="008F54E6" w:rsidP="008F54E6">
      <w:r w:rsidRPr="008F54E6">
        <w:rPr>
          <w:rFonts w:hint="eastAsia"/>
        </w:rPr>
        <w:t>随着我国步入中度老龄化社会，“银发经济”正成为重要的经济增长点。然而，本应“为老促老”的经济体系，却在一些不法分子手中异化为圈钱工具，特别是新兴的“私域直播”模式，正成为围猎老年人“养老钱”的重灾区。</w:t>
      </w:r>
    </w:p>
    <w:p w14:paraId="156504DE" w14:textId="77777777" w:rsidR="008F54E6" w:rsidRPr="008F54E6" w:rsidRDefault="008F54E6" w:rsidP="008F54E6">
      <w:pPr>
        <w:rPr>
          <w:rFonts w:hint="eastAsia"/>
        </w:rPr>
      </w:pPr>
      <w:r w:rsidRPr="008F54E6">
        <w:rPr>
          <w:rFonts w:hint="eastAsia"/>
        </w:rPr>
        <w:t xml:space="preserve">　　2月24日召开的国务院常务会议研究推进银发经济和养老服务发展有关工作，明确提出要加强养老机构安全管理，及时排查化解风险隐患，严厉打击虚假宣传、非法集资和养老诈骗等行为，切实维护老年群体合法权益。</w:t>
      </w:r>
    </w:p>
    <w:p w14:paraId="5F786561" w14:textId="77777777" w:rsidR="008F54E6" w:rsidRPr="008F54E6" w:rsidRDefault="008F54E6" w:rsidP="008F54E6">
      <w:pPr>
        <w:rPr>
          <w:rFonts w:hint="eastAsia"/>
        </w:rPr>
      </w:pPr>
      <w:r w:rsidRPr="008F54E6">
        <w:rPr>
          <w:rFonts w:hint="eastAsia"/>
        </w:rPr>
        <w:t xml:space="preserve">　　中国政法大学副教授、中国消费者协会专家委员会专家朱巍在接受记者采访时指出，此次专项部署恰逢其时，为整治养老诈骗、规范银发经济发展提供了关键政策支撑，更是对老年群体合法权益的坚实保障。</w:t>
      </w:r>
    </w:p>
    <w:p w14:paraId="28D624F0" w14:textId="12E5BB15" w:rsidR="008F54E6" w:rsidRPr="008F54E6" w:rsidRDefault="008F54E6" w:rsidP="008F54E6">
      <w:pPr>
        <w:rPr>
          <w:rFonts w:hint="eastAsia"/>
        </w:rPr>
      </w:pPr>
      <w:r w:rsidRPr="008F54E6">
        <w:rPr>
          <w:rFonts w:hint="eastAsia"/>
        </w:rPr>
        <w:drawing>
          <wp:inline distT="0" distB="0" distL="0" distR="0" wp14:anchorId="113D2AAF" wp14:editId="1F22BE28">
            <wp:extent cx="5274310" cy="3217545"/>
            <wp:effectExtent l="0" t="0" r="2540" b="1905"/>
            <wp:docPr id="1029132787" name="图片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217545"/>
                    </a:xfrm>
                    <a:prstGeom prst="rect">
                      <a:avLst/>
                    </a:prstGeom>
                    <a:noFill/>
                    <a:ln>
                      <a:noFill/>
                    </a:ln>
                  </pic:spPr>
                </pic:pic>
              </a:graphicData>
            </a:graphic>
          </wp:inline>
        </w:drawing>
      </w:r>
    </w:p>
    <w:p w14:paraId="3A53D7D7" w14:textId="77777777" w:rsidR="008F54E6" w:rsidRPr="008F54E6" w:rsidRDefault="008F54E6" w:rsidP="008F54E6">
      <w:pPr>
        <w:rPr>
          <w:rFonts w:hint="eastAsia"/>
        </w:rPr>
      </w:pPr>
      <w:r w:rsidRPr="008F54E6">
        <w:rPr>
          <w:rFonts w:hint="eastAsia"/>
        </w:rPr>
        <w:t>国务院常务会议要求严厉打击养老诈骗等行为。图片来源 央视</w:t>
      </w:r>
    </w:p>
    <w:p w14:paraId="3D8C25FA" w14:textId="77777777" w:rsidR="008F54E6" w:rsidRPr="008F54E6" w:rsidRDefault="008F54E6" w:rsidP="008F54E6">
      <w:pPr>
        <w:rPr>
          <w:rFonts w:hint="eastAsia"/>
        </w:rPr>
      </w:pPr>
      <w:r w:rsidRPr="008F54E6">
        <w:rPr>
          <w:rFonts w:hint="eastAsia"/>
          <w:b/>
          <w:bCs/>
        </w:rPr>
        <w:t xml:space="preserve">　　私域直播领域为何成养老诈骗重灾区？</w:t>
      </w:r>
    </w:p>
    <w:p w14:paraId="4499BD9D" w14:textId="77777777" w:rsidR="008F54E6" w:rsidRPr="008F54E6" w:rsidRDefault="008F54E6" w:rsidP="008F54E6">
      <w:pPr>
        <w:rPr>
          <w:rFonts w:hint="eastAsia"/>
        </w:rPr>
      </w:pPr>
      <w:r w:rsidRPr="008F54E6">
        <w:rPr>
          <w:rFonts w:hint="eastAsia"/>
        </w:rPr>
        <w:t xml:space="preserve">　　今年1月，国家统计局发布的最新数据显示，截至2025年末，我国60岁及以上人口达3.2亿人，占全国人口的23.0%。根据《银发经济蓝皮书：中国银发经济发展报告（2024）》，我国银发经济产业总规模在七万亿元左右，约占GDP比重的6%，预计2035年有望达30万亿元。</w:t>
      </w:r>
    </w:p>
    <w:p w14:paraId="590C090C" w14:textId="77777777" w:rsidR="008F54E6" w:rsidRPr="008F54E6" w:rsidRDefault="008F54E6" w:rsidP="008F54E6">
      <w:pPr>
        <w:rPr>
          <w:rFonts w:hint="eastAsia"/>
        </w:rPr>
      </w:pPr>
      <w:r w:rsidRPr="008F54E6">
        <w:rPr>
          <w:rFonts w:hint="eastAsia"/>
        </w:rPr>
        <w:t xml:space="preserve">　　“银发经济本身是老龄化的必要属性，但现在已经被滥用了。”朱巍开门见山地指出，从以房养老、集资诈骗到各种保健品虚假宣传，都打着银发经济的旗号。其中，私域直播凭借隐蔽性强、精准营销的特点，成为坑害老年人的重灾区。</w:t>
      </w:r>
    </w:p>
    <w:p w14:paraId="3DC40978" w14:textId="77777777" w:rsidR="008F54E6" w:rsidRPr="008F54E6" w:rsidRDefault="008F54E6" w:rsidP="008F54E6">
      <w:pPr>
        <w:rPr>
          <w:rFonts w:hint="eastAsia"/>
        </w:rPr>
      </w:pPr>
      <w:r w:rsidRPr="008F54E6">
        <w:rPr>
          <w:rFonts w:hint="eastAsia"/>
        </w:rPr>
        <w:t xml:space="preserve">　　私域直播是相对于针对不确定对象的公域直播而言的一种互动营销直播活动，主要指企业或个人基于自有流量池（如微信群、企业微信、小程序等），针对已建立联系的特定用户群体，通过直播方式与用户进行互动和沟通的一种营销模式。</w:t>
      </w:r>
    </w:p>
    <w:p w14:paraId="24AC20F4" w14:textId="77777777" w:rsidR="008F54E6" w:rsidRPr="008F54E6" w:rsidRDefault="008F54E6" w:rsidP="008F54E6">
      <w:pPr>
        <w:rPr>
          <w:rFonts w:hint="eastAsia"/>
        </w:rPr>
      </w:pPr>
      <w:r w:rsidRPr="008F54E6">
        <w:rPr>
          <w:rFonts w:hint="eastAsia"/>
        </w:rPr>
        <w:t xml:space="preserve">　　朱巍分析，老年人有钱有闲且智能机普及，尤其是空巢老人缺乏陪伴，不法主播通过“唠家常”、“立人设”的方式与老年人建立情感“默契”，进而让老年人轻信其宣传，购买质次价高的商品，造成财产损失。</w:t>
      </w:r>
    </w:p>
    <w:p w14:paraId="7A78FABE" w14:textId="77777777" w:rsidR="008F54E6" w:rsidRPr="008F54E6" w:rsidRDefault="008F54E6" w:rsidP="008F54E6">
      <w:pPr>
        <w:rPr>
          <w:rFonts w:hint="eastAsia"/>
        </w:rPr>
      </w:pPr>
      <w:r w:rsidRPr="008F54E6">
        <w:rPr>
          <w:rFonts w:hint="eastAsia"/>
        </w:rPr>
        <w:t xml:space="preserve">　　来自官方的数据、案例印证了这一现象。2025年8月，公安部公布的5起养老领域非法集资犯罪典型案例显示，相关案件以销售墓地返利、“医养结合”、投资“保健品”项目等为名非法集资，涉案金额共计超22亿元，受害的60岁以上老年人近1.5万人。</w:t>
      </w:r>
    </w:p>
    <w:p w14:paraId="0E383D84" w14:textId="77777777" w:rsidR="008F54E6" w:rsidRPr="008F54E6" w:rsidRDefault="008F54E6" w:rsidP="008F54E6">
      <w:pPr>
        <w:rPr>
          <w:rFonts w:hint="eastAsia"/>
        </w:rPr>
      </w:pPr>
      <w:r w:rsidRPr="008F54E6">
        <w:rPr>
          <w:rFonts w:hint="eastAsia"/>
        </w:rPr>
        <w:lastRenderedPageBreak/>
        <w:t xml:space="preserve">　　同年12月，市场监管总局公布5起民生领域私域直播虚假宣传典型案例，指出部分不法商家通过“免费健康讲座”“专家义诊”“直播领福利”等形式精准“围猎”老年群体，将其引流至私域直播间实施虚假营销，侵害老年人合法权益。</w:t>
      </w:r>
    </w:p>
    <w:p w14:paraId="1E9CB969" w14:textId="24A75F29" w:rsidR="008F54E6" w:rsidRPr="008F54E6" w:rsidRDefault="008F54E6" w:rsidP="008F54E6">
      <w:pPr>
        <w:rPr>
          <w:rFonts w:hint="eastAsia"/>
        </w:rPr>
      </w:pPr>
      <w:r w:rsidRPr="008F54E6">
        <w:rPr>
          <w:rFonts w:hint="eastAsia"/>
        </w:rPr>
        <w:drawing>
          <wp:inline distT="0" distB="0" distL="0" distR="0" wp14:anchorId="729B2B73" wp14:editId="742AAFCE">
            <wp:extent cx="5274310" cy="2966720"/>
            <wp:effectExtent l="0" t="0" r="2540" b="5080"/>
            <wp:docPr id="563554239" name="图片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inline>
        </w:drawing>
      </w:r>
    </w:p>
    <w:p w14:paraId="7D81BD6B" w14:textId="77777777" w:rsidR="008F54E6" w:rsidRPr="008F54E6" w:rsidRDefault="008F54E6" w:rsidP="008F54E6">
      <w:pPr>
        <w:rPr>
          <w:rFonts w:hint="eastAsia"/>
        </w:rPr>
      </w:pPr>
      <w:r w:rsidRPr="008F54E6">
        <w:rPr>
          <w:rFonts w:hint="eastAsia"/>
        </w:rPr>
        <w:t>北京警方在一起诈骗老年人的案件中查获的假药。图片来源 央视</w:t>
      </w:r>
    </w:p>
    <w:p w14:paraId="754CAEA0" w14:textId="77777777" w:rsidR="008F54E6" w:rsidRPr="008F54E6" w:rsidRDefault="008F54E6" w:rsidP="008F54E6">
      <w:pPr>
        <w:rPr>
          <w:rFonts w:hint="eastAsia"/>
        </w:rPr>
      </w:pPr>
      <w:r w:rsidRPr="008F54E6">
        <w:rPr>
          <w:rFonts w:hint="eastAsia"/>
          <w:b/>
          <w:bCs/>
        </w:rPr>
        <w:t xml:space="preserve">　　私域直播法律监管为何存在短板？</w:t>
      </w:r>
    </w:p>
    <w:p w14:paraId="19D41A9A" w14:textId="77777777" w:rsidR="008F54E6" w:rsidRPr="008F54E6" w:rsidRDefault="008F54E6" w:rsidP="008F54E6">
      <w:pPr>
        <w:rPr>
          <w:rFonts w:hint="eastAsia"/>
        </w:rPr>
      </w:pPr>
      <w:r w:rsidRPr="008F54E6">
        <w:rPr>
          <w:rFonts w:hint="eastAsia"/>
        </w:rPr>
        <w:t xml:space="preserve">　　此类骗局为何屡禁不止？朱巍指出，其核心症结在于法律与监管体系仍存在明显短板。</w:t>
      </w:r>
    </w:p>
    <w:p w14:paraId="790D3DC4" w14:textId="77777777" w:rsidR="008F54E6" w:rsidRPr="008F54E6" w:rsidRDefault="008F54E6" w:rsidP="008F54E6">
      <w:pPr>
        <w:rPr>
          <w:rFonts w:hint="eastAsia"/>
        </w:rPr>
      </w:pPr>
      <w:r w:rsidRPr="008F54E6">
        <w:rPr>
          <w:rFonts w:hint="eastAsia"/>
        </w:rPr>
        <w:t xml:space="preserve">　　他认为，2025年市场监管总局办公厅印发《〈广告法〉适用问题执法指南（一）》后，私域直播的法律监管适用规则发生调整，其不再被纳入《广告法》的规制范畴，相关商业宣传行为转而适用《反不正当竞争法》进行监管。</w:t>
      </w:r>
    </w:p>
    <w:p w14:paraId="0C076E69" w14:textId="77777777" w:rsidR="008F54E6" w:rsidRPr="008F54E6" w:rsidRDefault="008F54E6" w:rsidP="008F54E6">
      <w:pPr>
        <w:rPr>
          <w:rFonts w:hint="eastAsia"/>
        </w:rPr>
      </w:pPr>
      <w:r w:rsidRPr="008F54E6">
        <w:rPr>
          <w:rFonts w:hint="eastAsia"/>
        </w:rPr>
        <w:t xml:space="preserve">　　在朱巍看来，这一法律适用的转变，直接带来了监管层面的一系列变化：相较于《广告法》对虚假广告行为采取的“无后果追责”原则，《反不正当竞争法》针对虚假商业宣传的行政处罚力度相对更弱。同时，针对私域直播相关行为的事前监管难度也明显增加。</w:t>
      </w:r>
    </w:p>
    <w:p w14:paraId="14235C55" w14:textId="77777777" w:rsidR="008F54E6" w:rsidRPr="008F54E6" w:rsidRDefault="008F54E6" w:rsidP="008F54E6">
      <w:pPr>
        <w:rPr>
          <w:rFonts w:hint="eastAsia"/>
        </w:rPr>
      </w:pPr>
      <w:r w:rsidRPr="008F54E6">
        <w:rPr>
          <w:rFonts w:hint="eastAsia"/>
        </w:rPr>
        <w:t xml:space="preserve">　　更突出的是，私域直播的业态特性让取证和监管难上加难：部分小平台、小程序的直播内容难以留存，而私域直播常采用“只宣传不带货，点对点销售”的模式，规避了《电子商务法》中“宣传销售记录保存3年”的规定，相关法律界定的模煳性进一步加剧了监管困境。</w:t>
      </w:r>
    </w:p>
    <w:p w14:paraId="2B99E679" w14:textId="77777777" w:rsidR="008F54E6" w:rsidRPr="008F54E6" w:rsidRDefault="008F54E6" w:rsidP="008F54E6">
      <w:pPr>
        <w:rPr>
          <w:rFonts w:hint="eastAsia"/>
        </w:rPr>
      </w:pPr>
      <w:r w:rsidRPr="008F54E6">
        <w:rPr>
          <w:rFonts w:hint="eastAsia"/>
        </w:rPr>
        <w:t xml:space="preserve">　　2025年10月，市场监管总局价监竞争局一级巡视员杨洪丰在“整治私域直播虚假宣传违法行为”专题新闻发布会上介绍，私域直播领域存在虚假宣传与夸大功效、“专家人设”造假、产品资质造假、消费维权困难等突出问题，给监管执法工作带来了主动监控监测难、“私域”内容取证难、上下游链条追溯难等困难和挑战。</w:t>
      </w:r>
    </w:p>
    <w:p w14:paraId="4A2B6F45" w14:textId="77777777" w:rsidR="008F54E6" w:rsidRPr="008F54E6" w:rsidRDefault="008F54E6" w:rsidP="008F54E6">
      <w:pPr>
        <w:rPr>
          <w:rFonts w:hint="eastAsia"/>
        </w:rPr>
      </w:pPr>
      <w:r w:rsidRPr="008F54E6">
        <w:rPr>
          <w:rFonts w:hint="eastAsia"/>
        </w:rPr>
        <w:t xml:space="preserve">　　他同时表示，各地市场监管部门通过强化电子取证固证、跨区域协同办案、全链条“穿透式”监管等针对性手段，着力提升法治监管、信用监管、智慧监管能力和水平，严厉打击各类不正当竞争行为、坚决维护消费者尤其是老年人合法权益。</w:t>
      </w:r>
    </w:p>
    <w:p w14:paraId="7F58968F" w14:textId="77777777" w:rsidR="008F54E6" w:rsidRPr="008F54E6" w:rsidRDefault="008F54E6" w:rsidP="008F54E6">
      <w:pPr>
        <w:rPr>
          <w:rFonts w:hint="eastAsia"/>
        </w:rPr>
      </w:pPr>
      <w:r w:rsidRPr="008F54E6">
        <w:rPr>
          <w:rFonts w:hint="eastAsia"/>
        </w:rPr>
        <w:t xml:space="preserve">　　2025年5月，市场监管总局部署在全国开展老年人药品、保健品虚假宣传专项整治工作，打击药品、保健品市场“坑老”“骗老”行为。截至同年10月，全国市场监管部门共对私域直播虚假宣传违法行为立案30件，其中私域直播平台6件，直播商家24件，处罚没金额293万元，拟处罚没金额约663万元。</w:t>
      </w:r>
    </w:p>
    <w:p w14:paraId="0494ECC1" w14:textId="2210F5C6" w:rsidR="008F54E6" w:rsidRPr="008F54E6" w:rsidRDefault="008F54E6" w:rsidP="008F54E6">
      <w:pPr>
        <w:rPr>
          <w:rFonts w:hint="eastAsia"/>
        </w:rPr>
      </w:pPr>
      <w:r w:rsidRPr="008F54E6">
        <w:rPr>
          <w:rFonts w:hint="eastAsia"/>
        </w:rPr>
        <w:lastRenderedPageBreak/>
        <w:drawing>
          <wp:inline distT="0" distB="0" distL="0" distR="0" wp14:anchorId="45DEDD9A" wp14:editId="5CA787C8">
            <wp:extent cx="5274310" cy="2967990"/>
            <wp:effectExtent l="0" t="0" r="2540" b="3810"/>
            <wp:docPr id="719158665" name="图片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967990"/>
                    </a:xfrm>
                    <a:prstGeom prst="rect">
                      <a:avLst/>
                    </a:prstGeom>
                    <a:noFill/>
                    <a:ln>
                      <a:noFill/>
                    </a:ln>
                  </pic:spPr>
                </pic:pic>
              </a:graphicData>
            </a:graphic>
          </wp:inline>
        </w:drawing>
      </w:r>
    </w:p>
    <w:p w14:paraId="604B64E1" w14:textId="77777777" w:rsidR="008F54E6" w:rsidRPr="008F54E6" w:rsidRDefault="008F54E6" w:rsidP="008F54E6">
      <w:pPr>
        <w:rPr>
          <w:rFonts w:hint="eastAsia"/>
        </w:rPr>
      </w:pPr>
      <w:r w:rsidRPr="008F54E6">
        <w:rPr>
          <w:rFonts w:hint="eastAsia"/>
        </w:rPr>
        <w:t>近年来，多地查处以投资养老为名义的诈骗案件。图片来源 央视</w:t>
      </w:r>
    </w:p>
    <w:p w14:paraId="4769F17E" w14:textId="77777777" w:rsidR="008F54E6" w:rsidRPr="008F54E6" w:rsidRDefault="008F54E6" w:rsidP="008F54E6">
      <w:pPr>
        <w:rPr>
          <w:rFonts w:hint="eastAsia"/>
        </w:rPr>
      </w:pPr>
      <w:r w:rsidRPr="008F54E6">
        <w:rPr>
          <w:rFonts w:hint="eastAsia"/>
          <w:b/>
          <w:bCs/>
        </w:rPr>
        <w:t xml:space="preserve">　　如何斩断养老诈骗产业链？专家提出四点建议</w:t>
      </w:r>
    </w:p>
    <w:p w14:paraId="46623BE0" w14:textId="77777777" w:rsidR="008F54E6" w:rsidRPr="008F54E6" w:rsidRDefault="008F54E6" w:rsidP="008F54E6">
      <w:pPr>
        <w:rPr>
          <w:rFonts w:hint="eastAsia"/>
        </w:rPr>
      </w:pPr>
      <w:r w:rsidRPr="008F54E6">
        <w:rPr>
          <w:rFonts w:hint="eastAsia"/>
        </w:rPr>
        <w:t xml:space="preserve">　　针对私域直播坑老等养老诈骗乱象，朱巍从消费者权益保护与法律规制角度提出了四点治理建议，为从源头斩断养老诈骗产业链提供了路径。</w:t>
      </w:r>
    </w:p>
    <w:p w14:paraId="419FD6B1" w14:textId="77777777" w:rsidR="008F54E6" w:rsidRPr="008F54E6" w:rsidRDefault="008F54E6" w:rsidP="008F54E6">
      <w:pPr>
        <w:rPr>
          <w:rFonts w:hint="eastAsia"/>
        </w:rPr>
      </w:pPr>
      <w:r w:rsidRPr="008F54E6">
        <w:rPr>
          <w:rFonts w:hint="eastAsia"/>
        </w:rPr>
        <w:t xml:space="preserve">　　首先，必须将私域直播重新纳入《广告法》规制范围。当前《广告法》适用范围过窄的问题，让不法分子钻了法律空子，尤其是医疗、药品、保健品、医疗器械等“三品一械”，按规定严禁做代言人广告，但因私域直播不被认定为广告，不仅伪专家横行，甚至部分真专家也利用私域直播大肆代言牟利，形成“劣币驱逐良币”的行业乱象。</w:t>
      </w:r>
    </w:p>
    <w:p w14:paraId="2BFC27BB" w14:textId="77777777" w:rsidR="008F54E6" w:rsidRPr="008F54E6" w:rsidRDefault="008F54E6" w:rsidP="008F54E6">
      <w:pPr>
        <w:rPr>
          <w:rFonts w:hint="eastAsia"/>
        </w:rPr>
      </w:pPr>
      <w:r w:rsidRPr="008F54E6">
        <w:rPr>
          <w:rFonts w:hint="eastAsia"/>
        </w:rPr>
        <w:t xml:space="preserve">　　其次，压实平台主体责任，完善信息留存制度。朱巍建议，涵盖网上会议、即时通讯工具、小程序等在内的所有提供私域直播服务的平台，无论是否涉及带货，只要存在品宣行为，均需按照《电子商务法》规定将相关记录保存3年，若出现问题需承担相应责任。</w:t>
      </w:r>
    </w:p>
    <w:p w14:paraId="038D0C33" w14:textId="77777777" w:rsidR="008F54E6" w:rsidRPr="008F54E6" w:rsidRDefault="008F54E6" w:rsidP="008F54E6">
      <w:pPr>
        <w:rPr>
          <w:rFonts w:hint="eastAsia"/>
        </w:rPr>
      </w:pPr>
      <w:r w:rsidRPr="008F54E6">
        <w:rPr>
          <w:rFonts w:hint="eastAsia"/>
        </w:rPr>
        <w:t xml:space="preserve">　　再者，建立跨平台黑名单制度和竞业机制。朱巍认为，当前从事私域直播坑老的人员，多为早年做微商、传销的同一拨人，反复变换身份实施诈骗。对此，建议打通各行业的黑名单制度，将相关企业和从业人员纳入失信名单，并设置竞业机制，防止其在不同领域反复作案。同时，要厘清公域直播与私域直播的监管边界，杜绝不法分子将公域作为引流上游、私域作为行骗下游的产业链模式。</w:t>
      </w:r>
    </w:p>
    <w:p w14:paraId="5519BD25" w14:textId="77777777" w:rsidR="008F54E6" w:rsidRPr="008F54E6" w:rsidRDefault="008F54E6" w:rsidP="008F54E6">
      <w:pPr>
        <w:rPr>
          <w:rFonts w:hint="eastAsia"/>
        </w:rPr>
      </w:pPr>
      <w:r w:rsidRPr="008F54E6">
        <w:rPr>
          <w:rFonts w:hint="eastAsia"/>
        </w:rPr>
        <w:t xml:space="preserve">　　此外，需进一步规范专家资质认定，强化“三品一械”领域的广告监管。网信办此前已出台医疗领域科普号管理规定，大幅提高了资质认定标准，但私域直播中仍存在身份自封的乱象。在朱巍看来，需将专家资质认定延伸至私域场景，同时严格执行“三品一械”禁止代言广告的规定，对私域中违规代言的专家依法追责，让真专家不敢越界，让伪专家无处遁形。</w:t>
      </w:r>
    </w:p>
    <w:p w14:paraId="445EEB11" w14:textId="77777777" w:rsidR="0045793F" w:rsidRPr="008F54E6" w:rsidRDefault="0045793F" w:rsidP="008F54E6">
      <w:pPr>
        <w:rPr>
          <w:rFonts w:hint="eastAsia"/>
        </w:rPr>
      </w:pPr>
    </w:p>
    <w:sectPr w:rsidR="0045793F" w:rsidRPr="008F54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图片" style="width:12.9pt;height:11.55pt;visibility:visible;mso-wrap-style:square" o:bullet="t">
        <v:imagedata r:id="rId1" o:title="图片"/>
      </v:shape>
    </w:pict>
  </w:numPicBullet>
  <w:abstractNum w:abstractNumId="0" w15:restartNumberingAfterBreak="0">
    <w:nsid w:val="55F1575A"/>
    <w:multiLevelType w:val="hybridMultilevel"/>
    <w:tmpl w:val="B9DCDA62"/>
    <w:lvl w:ilvl="0" w:tplc="8370C094">
      <w:start w:val="1"/>
      <w:numFmt w:val="bullet"/>
      <w:lvlText w:val=""/>
      <w:lvlPicBulletId w:val="0"/>
      <w:lvlJc w:val="left"/>
      <w:pPr>
        <w:tabs>
          <w:tab w:val="num" w:pos="440"/>
        </w:tabs>
        <w:ind w:left="440" w:firstLine="0"/>
      </w:pPr>
      <w:rPr>
        <w:rFonts w:ascii="Symbol" w:hAnsi="Symbol" w:hint="default"/>
      </w:rPr>
    </w:lvl>
    <w:lvl w:ilvl="1" w:tplc="9132915E" w:tentative="1">
      <w:start w:val="1"/>
      <w:numFmt w:val="bullet"/>
      <w:lvlText w:val=""/>
      <w:lvlJc w:val="left"/>
      <w:pPr>
        <w:tabs>
          <w:tab w:val="num" w:pos="880"/>
        </w:tabs>
        <w:ind w:left="880" w:firstLine="0"/>
      </w:pPr>
      <w:rPr>
        <w:rFonts w:ascii="Symbol" w:hAnsi="Symbol" w:hint="default"/>
      </w:rPr>
    </w:lvl>
    <w:lvl w:ilvl="2" w:tplc="5F12AE50" w:tentative="1">
      <w:start w:val="1"/>
      <w:numFmt w:val="bullet"/>
      <w:lvlText w:val=""/>
      <w:lvlJc w:val="left"/>
      <w:pPr>
        <w:tabs>
          <w:tab w:val="num" w:pos="1320"/>
        </w:tabs>
        <w:ind w:left="1320" w:firstLine="0"/>
      </w:pPr>
      <w:rPr>
        <w:rFonts w:ascii="Symbol" w:hAnsi="Symbol" w:hint="default"/>
      </w:rPr>
    </w:lvl>
    <w:lvl w:ilvl="3" w:tplc="D00A8B20" w:tentative="1">
      <w:start w:val="1"/>
      <w:numFmt w:val="bullet"/>
      <w:lvlText w:val=""/>
      <w:lvlJc w:val="left"/>
      <w:pPr>
        <w:tabs>
          <w:tab w:val="num" w:pos="1760"/>
        </w:tabs>
        <w:ind w:left="1760" w:firstLine="0"/>
      </w:pPr>
      <w:rPr>
        <w:rFonts w:ascii="Symbol" w:hAnsi="Symbol" w:hint="default"/>
      </w:rPr>
    </w:lvl>
    <w:lvl w:ilvl="4" w:tplc="CF022D9C" w:tentative="1">
      <w:start w:val="1"/>
      <w:numFmt w:val="bullet"/>
      <w:lvlText w:val=""/>
      <w:lvlJc w:val="left"/>
      <w:pPr>
        <w:tabs>
          <w:tab w:val="num" w:pos="2200"/>
        </w:tabs>
        <w:ind w:left="2200" w:firstLine="0"/>
      </w:pPr>
      <w:rPr>
        <w:rFonts w:ascii="Symbol" w:hAnsi="Symbol" w:hint="default"/>
      </w:rPr>
    </w:lvl>
    <w:lvl w:ilvl="5" w:tplc="41E08F1A" w:tentative="1">
      <w:start w:val="1"/>
      <w:numFmt w:val="bullet"/>
      <w:lvlText w:val=""/>
      <w:lvlJc w:val="left"/>
      <w:pPr>
        <w:tabs>
          <w:tab w:val="num" w:pos="2640"/>
        </w:tabs>
        <w:ind w:left="2640" w:firstLine="0"/>
      </w:pPr>
      <w:rPr>
        <w:rFonts w:ascii="Symbol" w:hAnsi="Symbol" w:hint="default"/>
      </w:rPr>
    </w:lvl>
    <w:lvl w:ilvl="6" w:tplc="8500F3DA" w:tentative="1">
      <w:start w:val="1"/>
      <w:numFmt w:val="bullet"/>
      <w:lvlText w:val=""/>
      <w:lvlJc w:val="left"/>
      <w:pPr>
        <w:tabs>
          <w:tab w:val="num" w:pos="3080"/>
        </w:tabs>
        <w:ind w:left="3080" w:firstLine="0"/>
      </w:pPr>
      <w:rPr>
        <w:rFonts w:ascii="Symbol" w:hAnsi="Symbol" w:hint="default"/>
      </w:rPr>
    </w:lvl>
    <w:lvl w:ilvl="7" w:tplc="AE94E59A" w:tentative="1">
      <w:start w:val="1"/>
      <w:numFmt w:val="bullet"/>
      <w:lvlText w:val=""/>
      <w:lvlJc w:val="left"/>
      <w:pPr>
        <w:tabs>
          <w:tab w:val="num" w:pos="3520"/>
        </w:tabs>
        <w:ind w:left="3520" w:firstLine="0"/>
      </w:pPr>
      <w:rPr>
        <w:rFonts w:ascii="Symbol" w:hAnsi="Symbol" w:hint="default"/>
      </w:rPr>
    </w:lvl>
    <w:lvl w:ilvl="8" w:tplc="E4A658C6" w:tentative="1">
      <w:start w:val="1"/>
      <w:numFmt w:val="bullet"/>
      <w:lvlText w:val=""/>
      <w:lvlJc w:val="left"/>
      <w:pPr>
        <w:tabs>
          <w:tab w:val="num" w:pos="3960"/>
        </w:tabs>
        <w:ind w:left="3960" w:firstLine="0"/>
      </w:pPr>
      <w:rPr>
        <w:rFonts w:ascii="Symbol" w:hAnsi="Symbol" w:hint="default"/>
      </w:rPr>
    </w:lvl>
  </w:abstractNum>
  <w:num w:numId="1" w16cid:durableId="213590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9A"/>
    <w:rsid w:val="002B0467"/>
    <w:rsid w:val="00380895"/>
    <w:rsid w:val="0045793F"/>
    <w:rsid w:val="005C03FF"/>
    <w:rsid w:val="008363BD"/>
    <w:rsid w:val="008F54E6"/>
    <w:rsid w:val="00C0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4352"/>
  <w15:chartTrackingRefBased/>
  <w15:docId w15:val="{D2C30CED-FBD0-4655-8009-B6518DBA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6B9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6B9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6B9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06B9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06B9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C06B9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06B9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6B9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06B9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6B9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06B9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06B9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06B9A"/>
    <w:rPr>
      <w:rFonts w:cstheme="majorBidi"/>
      <w:color w:val="0F4761" w:themeColor="accent1" w:themeShade="BF"/>
      <w:sz w:val="28"/>
      <w:szCs w:val="28"/>
    </w:rPr>
  </w:style>
  <w:style w:type="character" w:customStyle="1" w:styleId="50">
    <w:name w:val="标题 5 字符"/>
    <w:basedOn w:val="a0"/>
    <w:link w:val="5"/>
    <w:uiPriority w:val="9"/>
    <w:semiHidden/>
    <w:rsid w:val="00C06B9A"/>
    <w:rPr>
      <w:rFonts w:cstheme="majorBidi"/>
      <w:color w:val="0F4761" w:themeColor="accent1" w:themeShade="BF"/>
      <w:sz w:val="24"/>
      <w:szCs w:val="24"/>
    </w:rPr>
  </w:style>
  <w:style w:type="character" w:customStyle="1" w:styleId="60">
    <w:name w:val="标题 6 字符"/>
    <w:basedOn w:val="a0"/>
    <w:link w:val="6"/>
    <w:uiPriority w:val="9"/>
    <w:semiHidden/>
    <w:rsid w:val="00C06B9A"/>
    <w:rPr>
      <w:rFonts w:cstheme="majorBidi"/>
      <w:b/>
      <w:bCs/>
      <w:color w:val="0F4761" w:themeColor="accent1" w:themeShade="BF"/>
    </w:rPr>
  </w:style>
  <w:style w:type="character" w:customStyle="1" w:styleId="70">
    <w:name w:val="标题 7 字符"/>
    <w:basedOn w:val="a0"/>
    <w:link w:val="7"/>
    <w:uiPriority w:val="9"/>
    <w:semiHidden/>
    <w:rsid w:val="00C06B9A"/>
    <w:rPr>
      <w:rFonts w:cstheme="majorBidi"/>
      <w:b/>
      <w:bCs/>
      <w:color w:val="595959" w:themeColor="text1" w:themeTint="A6"/>
    </w:rPr>
  </w:style>
  <w:style w:type="character" w:customStyle="1" w:styleId="80">
    <w:name w:val="标题 8 字符"/>
    <w:basedOn w:val="a0"/>
    <w:link w:val="8"/>
    <w:uiPriority w:val="9"/>
    <w:semiHidden/>
    <w:rsid w:val="00C06B9A"/>
    <w:rPr>
      <w:rFonts w:cstheme="majorBidi"/>
      <w:color w:val="595959" w:themeColor="text1" w:themeTint="A6"/>
    </w:rPr>
  </w:style>
  <w:style w:type="character" w:customStyle="1" w:styleId="90">
    <w:name w:val="标题 9 字符"/>
    <w:basedOn w:val="a0"/>
    <w:link w:val="9"/>
    <w:uiPriority w:val="9"/>
    <w:semiHidden/>
    <w:rsid w:val="00C06B9A"/>
    <w:rPr>
      <w:rFonts w:eastAsiaTheme="majorEastAsia" w:cstheme="majorBidi"/>
      <w:color w:val="595959" w:themeColor="text1" w:themeTint="A6"/>
    </w:rPr>
  </w:style>
  <w:style w:type="paragraph" w:styleId="a3">
    <w:name w:val="Title"/>
    <w:basedOn w:val="a"/>
    <w:next w:val="a"/>
    <w:link w:val="a4"/>
    <w:uiPriority w:val="10"/>
    <w:qFormat/>
    <w:rsid w:val="00C06B9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6B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6B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6B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6B9A"/>
    <w:pPr>
      <w:spacing w:before="160" w:after="160"/>
      <w:jc w:val="center"/>
    </w:pPr>
    <w:rPr>
      <w:i/>
      <w:iCs/>
      <w:color w:val="404040" w:themeColor="text1" w:themeTint="BF"/>
    </w:rPr>
  </w:style>
  <w:style w:type="character" w:customStyle="1" w:styleId="a8">
    <w:name w:val="引用 字符"/>
    <w:basedOn w:val="a0"/>
    <w:link w:val="a7"/>
    <w:uiPriority w:val="29"/>
    <w:rsid w:val="00C06B9A"/>
    <w:rPr>
      <w:i/>
      <w:iCs/>
      <w:color w:val="404040" w:themeColor="text1" w:themeTint="BF"/>
    </w:rPr>
  </w:style>
  <w:style w:type="paragraph" w:styleId="a9">
    <w:name w:val="List Paragraph"/>
    <w:basedOn w:val="a"/>
    <w:uiPriority w:val="34"/>
    <w:qFormat/>
    <w:rsid w:val="00C06B9A"/>
    <w:pPr>
      <w:ind w:left="720"/>
      <w:contextualSpacing/>
    </w:pPr>
  </w:style>
  <w:style w:type="character" w:styleId="aa">
    <w:name w:val="Intense Emphasis"/>
    <w:basedOn w:val="a0"/>
    <w:uiPriority w:val="21"/>
    <w:qFormat/>
    <w:rsid w:val="00C06B9A"/>
    <w:rPr>
      <w:i/>
      <w:iCs/>
      <w:color w:val="0F4761" w:themeColor="accent1" w:themeShade="BF"/>
    </w:rPr>
  </w:style>
  <w:style w:type="paragraph" w:styleId="ab">
    <w:name w:val="Intense Quote"/>
    <w:basedOn w:val="a"/>
    <w:next w:val="a"/>
    <w:link w:val="ac"/>
    <w:uiPriority w:val="30"/>
    <w:qFormat/>
    <w:rsid w:val="00C06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06B9A"/>
    <w:rPr>
      <w:i/>
      <w:iCs/>
      <w:color w:val="0F4761" w:themeColor="accent1" w:themeShade="BF"/>
    </w:rPr>
  </w:style>
  <w:style w:type="character" w:styleId="ad">
    <w:name w:val="Intense Reference"/>
    <w:basedOn w:val="a0"/>
    <w:uiPriority w:val="32"/>
    <w:qFormat/>
    <w:rsid w:val="00C06B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炯 许</dc:creator>
  <cp:keywords/>
  <dc:description/>
  <cp:lastModifiedBy>炯 许</cp:lastModifiedBy>
  <cp:revision>2</cp:revision>
  <dcterms:created xsi:type="dcterms:W3CDTF">2026-03-05T03:07:00Z</dcterms:created>
  <dcterms:modified xsi:type="dcterms:W3CDTF">2026-03-05T03:07:00Z</dcterms:modified>
</cp:coreProperties>
</file>